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Průchodní 1, byt č. 14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423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2,5+1;   </w:t>
      </w:r>
      <w:r>
        <w:rPr>
          <w:b/>
          <w:sz w:val="22"/>
          <w:szCs w:val="22"/>
        </w:rPr>
        <w:t>Plocha bytu:</w:t>
      </w:r>
      <w:r>
        <w:t xml:space="preserve"> cca 71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635 000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362633" cy="39433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272" cy="394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 xml:space="preserve">NUTNÉ ÚPRAVY BYTU – POŽADAVKY </w:t>
      </w:r>
      <w:bookmarkStart w:id="0" w:name="_GoBack"/>
      <w:bookmarkEnd w:id="0"/>
      <w:r>
        <w:rPr>
          <w:b/>
          <w:sz w:val="28"/>
        </w:rPr>
        <w:t>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 xml:space="preserve">Stávající nová dřevěná okna – oprava kování, těsnění, vyčištění, seřízení. 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lastRenderedPageBreak/>
        <w:t>Balkon odstranit nesoudržné vrstvy, přeizolovat, pochůzná krytina, zábradlí repasovat, nátěr fasády.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 na WC.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92577-8CAB-4797-98FD-B9EDFEF6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1625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2020-02-07T06:47:00Z</dcterms:created>
  <dcterms:modified xsi:type="dcterms:W3CDTF">2020-04-16T15:39:00Z</dcterms:modified>
</cp:coreProperties>
</file>